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E330E" w:rsidP="008E330E">
      <w:pPr>
        <w:spacing w:after="0" w:line="480" w:lineRule="auto"/>
        <w:jc w:val="center"/>
        <w:rPr>
          <w:rFonts w:ascii="Times New Roman" w:hAnsi="Times New Roman" w:cs="Times New Roman"/>
          <w:sz w:val="24"/>
          <w:szCs w:val="24"/>
        </w:rPr>
      </w:pPr>
      <w:bookmarkStart w:id="0" w:name="_GoBack"/>
      <w:bookmarkEnd w:id="0"/>
    </w:p>
    <w:p w:rsidR="008E330E" w:rsidP="008E330E">
      <w:pPr>
        <w:spacing w:after="0" w:line="480" w:lineRule="auto"/>
        <w:jc w:val="center"/>
        <w:rPr>
          <w:rFonts w:ascii="Times New Roman" w:hAnsi="Times New Roman" w:cs="Times New Roman"/>
          <w:sz w:val="24"/>
          <w:szCs w:val="24"/>
        </w:rPr>
      </w:pPr>
    </w:p>
    <w:p w:rsidR="008E330E" w:rsidP="008E330E">
      <w:pPr>
        <w:spacing w:after="0" w:line="480" w:lineRule="auto"/>
        <w:jc w:val="center"/>
        <w:rPr>
          <w:rFonts w:ascii="Times New Roman" w:hAnsi="Times New Roman" w:cs="Times New Roman"/>
          <w:sz w:val="24"/>
          <w:szCs w:val="24"/>
        </w:rPr>
      </w:pPr>
    </w:p>
    <w:p w:rsidR="008E330E" w:rsidP="008E330E">
      <w:pPr>
        <w:spacing w:after="0" w:line="480" w:lineRule="auto"/>
        <w:jc w:val="center"/>
        <w:rPr>
          <w:rFonts w:ascii="Times New Roman" w:hAnsi="Times New Roman" w:cs="Times New Roman"/>
          <w:sz w:val="24"/>
          <w:szCs w:val="24"/>
        </w:rPr>
      </w:pPr>
    </w:p>
    <w:p w:rsidR="008E330E" w:rsidP="008E330E">
      <w:pPr>
        <w:spacing w:after="0" w:line="480" w:lineRule="auto"/>
        <w:jc w:val="center"/>
        <w:rPr>
          <w:rFonts w:ascii="Times New Roman" w:hAnsi="Times New Roman" w:cs="Times New Roman"/>
          <w:sz w:val="24"/>
          <w:szCs w:val="24"/>
        </w:rPr>
      </w:pPr>
    </w:p>
    <w:p w:rsidR="008E330E" w:rsidP="008E330E">
      <w:pPr>
        <w:spacing w:after="0" w:line="480" w:lineRule="auto"/>
        <w:jc w:val="center"/>
        <w:rPr>
          <w:rFonts w:ascii="Times New Roman" w:hAnsi="Times New Roman" w:cs="Times New Roman"/>
          <w:sz w:val="24"/>
          <w:szCs w:val="24"/>
        </w:rPr>
      </w:pPr>
    </w:p>
    <w:p w:rsidR="008E330E" w:rsidP="008E330E">
      <w:pPr>
        <w:spacing w:after="0" w:line="480" w:lineRule="auto"/>
        <w:jc w:val="center"/>
        <w:rPr>
          <w:rFonts w:ascii="Times New Roman" w:hAnsi="Times New Roman" w:cs="Times New Roman"/>
          <w:sz w:val="24"/>
          <w:szCs w:val="24"/>
        </w:rPr>
      </w:pPr>
    </w:p>
    <w:p w:rsidR="008E330E" w:rsidRPr="008E330E" w:rsidP="008E330E">
      <w:pPr>
        <w:spacing w:after="0" w:line="480" w:lineRule="auto"/>
        <w:jc w:val="center"/>
        <w:rPr>
          <w:rFonts w:ascii="Times New Roman" w:hAnsi="Times New Roman" w:cs="Times New Roman"/>
          <w:sz w:val="24"/>
          <w:szCs w:val="24"/>
        </w:rPr>
      </w:pPr>
      <w:r w:rsidRPr="008E330E">
        <w:rPr>
          <w:rFonts w:ascii="Times New Roman" w:hAnsi="Times New Roman" w:cs="Times New Roman"/>
          <w:sz w:val="24"/>
          <w:szCs w:val="24"/>
        </w:rPr>
        <w:t>The Expos</w:t>
      </w:r>
      <w:r w:rsidR="00BD0BBB">
        <w:rPr>
          <w:rFonts w:ascii="Times New Roman" w:hAnsi="Times New Roman" w:cs="Times New Roman"/>
          <w:sz w:val="24"/>
          <w:szCs w:val="24"/>
        </w:rPr>
        <w:t>itory Summary of Germania Book f</w:t>
      </w:r>
      <w:r w:rsidRPr="008E330E">
        <w:rPr>
          <w:rFonts w:ascii="Times New Roman" w:hAnsi="Times New Roman" w:cs="Times New Roman"/>
          <w:sz w:val="24"/>
          <w:szCs w:val="24"/>
        </w:rPr>
        <w:t>rom Tacitus</w:t>
      </w:r>
    </w:p>
    <w:p w:rsidR="008E330E" w:rsidP="008E330E">
      <w:pPr>
        <w:pStyle w:val="NormalWeb"/>
        <w:spacing w:before="0" w:beforeAutospacing="0" w:after="0" w:afterAutospacing="0" w:line="480" w:lineRule="auto"/>
        <w:jc w:val="center"/>
        <w:rPr>
          <w:color w:val="1C1E29"/>
        </w:rPr>
      </w:pPr>
      <w:r>
        <w:rPr>
          <w:color w:val="1C1E29"/>
        </w:rPr>
        <w:t>Student Name</w:t>
      </w:r>
    </w:p>
    <w:p w:rsidR="008E330E" w:rsidP="008E330E">
      <w:pPr>
        <w:pStyle w:val="NormalWeb"/>
        <w:spacing w:before="0" w:beforeAutospacing="0" w:after="0" w:afterAutospacing="0" w:line="480" w:lineRule="auto"/>
        <w:jc w:val="center"/>
        <w:rPr>
          <w:color w:val="1C1E29"/>
        </w:rPr>
      </w:pPr>
      <w:r>
        <w:rPr>
          <w:color w:val="1C1E29"/>
        </w:rPr>
        <w:t>Institution Affiliation</w:t>
      </w:r>
    </w:p>
    <w:p w:rsidR="008E330E" w:rsidP="008E330E">
      <w:pPr>
        <w:pStyle w:val="NormalWeb"/>
        <w:spacing w:before="0" w:beforeAutospacing="0" w:after="0" w:afterAutospacing="0" w:line="480" w:lineRule="auto"/>
        <w:jc w:val="center"/>
        <w:rPr>
          <w:color w:val="1C1E29"/>
        </w:rPr>
      </w:pPr>
      <w:r>
        <w:rPr>
          <w:color w:val="1C1E29"/>
        </w:rPr>
        <w:t>Instructor Name</w:t>
      </w:r>
    </w:p>
    <w:p w:rsidR="008E330E" w:rsidP="008E330E">
      <w:pPr>
        <w:pStyle w:val="NormalWeb"/>
        <w:spacing w:before="0" w:beforeAutospacing="0" w:after="0" w:afterAutospacing="0" w:line="480" w:lineRule="auto"/>
        <w:jc w:val="center"/>
        <w:rPr>
          <w:color w:val="1C1E29"/>
        </w:rPr>
      </w:pPr>
      <w:r>
        <w:rPr>
          <w:color w:val="1C1E29"/>
        </w:rPr>
        <w:t>Course Title</w:t>
      </w:r>
    </w:p>
    <w:p w:rsidR="008E330E" w:rsidP="008E330E">
      <w:pPr>
        <w:pStyle w:val="NormalWeb"/>
        <w:spacing w:before="0" w:beforeAutospacing="0" w:after="0" w:afterAutospacing="0" w:line="480" w:lineRule="auto"/>
        <w:jc w:val="center"/>
        <w:rPr>
          <w:color w:val="1C1E29"/>
        </w:rPr>
      </w:pPr>
      <w:r>
        <w:rPr>
          <w:color w:val="1C1E29"/>
        </w:rPr>
        <w:t>Date</w:t>
      </w:r>
    </w:p>
    <w:p w:rsidR="008E330E" w:rsidP="008E330E">
      <w:pPr>
        <w:pStyle w:val="NormalWeb"/>
        <w:spacing w:before="0" w:beforeAutospacing="0" w:after="0" w:afterAutospacing="0" w:line="480" w:lineRule="auto"/>
        <w:jc w:val="both"/>
        <w:rPr>
          <w:color w:val="1C1E29"/>
        </w:rPr>
      </w:pPr>
    </w:p>
    <w:p w:rsidR="008E330E" w:rsidP="008E330E">
      <w:pPr>
        <w:pStyle w:val="NormalWeb"/>
        <w:spacing w:before="0" w:beforeAutospacing="0" w:after="0" w:afterAutospacing="0" w:line="480" w:lineRule="auto"/>
        <w:jc w:val="both"/>
        <w:rPr>
          <w:color w:val="1C1E29"/>
        </w:rPr>
      </w:pPr>
      <w:r>
        <w:rPr>
          <w:color w:val="1C1E29"/>
        </w:rPr>
        <w:t>  </w:t>
      </w:r>
    </w:p>
    <w:p w:rsidR="008E330E" w:rsidP="008E330E">
      <w:pPr>
        <w:rPr>
          <w:rFonts w:ascii="Times New Roman" w:eastAsia="Times New Roman" w:hAnsi="Times New Roman" w:cs="Times New Roman"/>
          <w:color w:val="1C1E29"/>
          <w:sz w:val="24"/>
          <w:szCs w:val="24"/>
        </w:rPr>
      </w:pPr>
      <w:r>
        <w:rPr>
          <w:color w:val="1C1E29"/>
        </w:rPr>
        <w:br w:type="page"/>
      </w:r>
    </w:p>
    <w:p w:rsidR="0076569F" w:rsidRPr="00134B8D" w:rsidP="00134B8D">
      <w:pPr>
        <w:spacing w:after="0" w:line="480" w:lineRule="auto"/>
        <w:jc w:val="center"/>
        <w:rPr>
          <w:rFonts w:ascii="Times New Roman" w:hAnsi="Times New Roman" w:cs="Times New Roman"/>
          <w:b/>
          <w:sz w:val="24"/>
          <w:szCs w:val="24"/>
        </w:rPr>
      </w:pPr>
      <w:r w:rsidRPr="00134B8D">
        <w:rPr>
          <w:rFonts w:ascii="Times New Roman" w:hAnsi="Times New Roman" w:cs="Times New Roman"/>
          <w:b/>
          <w:sz w:val="24"/>
          <w:szCs w:val="24"/>
        </w:rPr>
        <w:t xml:space="preserve">The </w:t>
      </w:r>
      <w:r w:rsidR="008E330E">
        <w:rPr>
          <w:rFonts w:ascii="Times New Roman" w:hAnsi="Times New Roman" w:cs="Times New Roman"/>
          <w:b/>
          <w:sz w:val="24"/>
          <w:szCs w:val="24"/>
        </w:rPr>
        <w:t>Expository Summary o</w:t>
      </w:r>
      <w:r w:rsidRPr="00134B8D" w:rsidR="008E330E">
        <w:rPr>
          <w:rFonts w:ascii="Times New Roman" w:hAnsi="Times New Roman" w:cs="Times New Roman"/>
          <w:b/>
          <w:sz w:val="24"/>
          <w:szCs w:val="24"/>
        </w:rPr>
        <w:t xml:space="preserve">f </w:t>
      </w:r>
      <w:r w:rsidRPr="00134B8D">
        <w:rPr>
          <w:rFonts w:ascii="Times New Roman" w:hAnsi="Times New Roman" w:cs="Times New Roman"/>
          <w:b/>
          <w:sz w:val="24"/>
          <w:szCs w:val="24"/>
        </w:rPr>
        <w:t xml:space="preserve">Germania </w:t>
      </w:r>
      <w:r w:rsidR="00BD0BBB">
        <w:rPr>
          <w:rFonts w:ascii="Times New Roman" w:hAnsi="Times New Roman" w:cs="Times New Roman"/>
          <w:b/>
          <w:sz w:val="24"/>
          <w:szCs w:val="24"/>
        </w:rPr>
        <w:t>Book f</w:t>
      </w:r>
      <w:r w:rsidRPr="00134B8D" w:rsidR="008E330E">
        <w:rPr>
          <w:rFonts w:ascii="Times New Roman" w:hAnsi="Times New Roman" w:cs="Times New Roman"/>
          <w:b/>
          <w:sz w:val="24"/>
          <w:szCs w:val="24"/>
        </w:rPr>
        <w:t xml:space="preserve">rom </w:t>
      </w:r>
      <w:r w:rsidRPr="00134B8D">
        <w:rPr>
          <w:rFonts w:ascii="Times New Roman" w:hAnsi="Times New Roman" w:cs="Times New Roman"/>
          <w:b/>
          <w:sz w:val="24"/>
          <w:szCs w:val="24"/>
        </w:rPr>
        <w:t>Tacitus</w:t>
      </w:r>
    </w:p>
    <w:p w:rsid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The book begins by describing customs, laws, and lands based on the German </w:t>
      </w:r>
      <w:r w:rsidRPr="00134B8D" w:rsidR="00BD0BBB">
        <w:rPr>
          <w:rFonts w:ascii="Times New Roman" w:hAnsi="Times New Roman" w:cs="Times New Roman"/>
          <w:sz w:val="24"/>
          <w:szCs w:val="24"/>
        </w:rPr>
        <w:t>people that</w:t>
      </w:r>
      <w:r w:rsidRPr="00134B8D">
        <w:rPr>
          <w:rFonts w:ascii="Times New Roman" w:hAnsi="Times New Roman" w:cs="Times New Roman"/>
          <w:sz w:val="24"/>
          <w:szCs w:val="24"/>
        </w:rPr>
        <w:t xml:space="preserve"> are from page 1-27. It goes ahead to describe the </w:t>
      </w:r>
      <w:r w:rsidRPr="00134B8D" w:rsidR="00DD4272">
        <w:rPr>
          <w:rFonts w:ascii="Times New Roman" w:hAnsi="Times New Roman" w:cs="Times New Roman"/>
          <w:sz w:val="24"/>
          <w:szCs w:val="24"/>
        </w:rPr>
        <w:t>individual tribes as it starts with those who stay close</w:t>
      </w:r>
      <w:r w:rsidRPr="00134B8D" w:rsidR="000966FE">
        <w:rPr>
          <w:rFonts w:ascii="Times New Roman" w:hAnsi="Times New Roman" w:cs="Times New Roman"/>
          <w:sz w:val="24"/>
          <w:szCs w:val="24"/>
        </w:rPr>
        <w:t xml:space="preserve"> land of Roman at the Baltic uttermost shores. The Fenni and </w:t>
      </w:r>
      <w:r w:rsidRPr="00134B8D" w:rsidR="00DF0C56">
        <w:rPr>
          <w:rFonts w:ascii="Times New Roman" w:hAnsi="Times New Roman" w:cs="Times New Roman"/>
          <w:sz w:val="24"/>
          <w:szCs w:val="24"/>
        </w:rPr>
        <w:t>Aesti are</w:t>
      </w:r>
      <w:r w:rsidRPr="00134B8D" w:rsidR="000966FE">
        <w:rPr>
          <w:rFonts w:ascii="Times New Roman" w:hAnsi="Times New Roman" w:cs="Times New Roman"/>
          <w:sz w:val="24"/>
          <w:szCs w:val="24"/>
        </w:rPr>
        <w:t xml:space="preserve"> the </w:t>
      </w:r>
      <w:r w:rsidRPr="00134B8D" w:rsidR="00DF0C56">
        <w:rPr>
          <w:rFonts w:ascii="Times New Roman" w:hAnsi="Times New Roman" w:cs="Times New Roman"/>
          <w:sz w:val="24"/>
          <w:szCs w:val="24"/>
        </w:rPr>
        <w:t>unknown</w:t>
      </w:r>
      <w:r w:rsidRPr="00134B8D" w:rsidR="000966FE">
        <w:rPr>
          <w:rFonts w:ascii="Times New Roman" w:hAnsi="Times New Roman" w:cs="Times New Roman"/>
          <w:sz w:val="24"/>
          <w:szCs w:val="24"/>
        </w:rPr>
        <w:t xml:space="preserve"> tribes that are beyond them</w:t>
      </w:r>
      <w:r w:rsidRPr="00134B8D" w:rsidR="00DF0C56">
        <w:rPr>
          <w:rFonts w:ascii="Times New Roman" w:hAnsi="Times New Roman" w:cs="Times New Roman"/>
          <w:sz w:val="24"/>
          <w:szCs w:val="24"/>
        </w:rPr>
        <w:t>. In chapter 2, Tactus says that German people tend to appear distinct nations physically but not the admixture from their neighbors simply because we can not identify any person willing to move to a horrid climate like that of German.</w:t>
      </w:r>
      <w:r w:rsidRPr="00134B8D" w:rsidR="005251CC">
        <w:rPr>
          <w:rFonts w:ascii="Times New Roman" w:hAnsi="Times New Roman" w:cs="Times New Roman"/>
          <w:sz w:val="24"/>
          <w:szCs w:val="24"/>
        </w:rPr>
        <w:t xml:space="preserve"> </w:t>
      </w:r>
    </w:p>
    <w:p w:rsidR="00955625"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They are under the division of 3 large branches, the Sirmione's, the ingaevones, and finally the Istaevones</w:t>
      </w:r>
      <w:r w:rsidRPr="00134B8D" w:rsidR="00FB272D">
        <w:rPr>
          <w:rFonts w:ascii="Times New Roman" w:hAnsi="Times New Roman" w:cs="Times New Roman"/>
          <w:sz w:val="24"/>
          <w:szCs w:val="24"/>
        </w:rPr>
        <w:t xml:space="preserve">. They acquired their </w:t>
      </w:r>
      <w:r w:rsidRPr="00134B8D" w:rsidR="006102D3">
        <w:rPr>
          <w:rFonts w:ascii="Times New Roman" w:hAnsi="Times New Roman" w:cs="Times New Roman"/>
          <w:sz w:val="24"/>
          <w:szCs w:val="24"/>
        </w:rPr>
        <w:t>ancestry</w:t>
      </w:r>
      <w:r w:rsidRPr="00134B8D" w:rsidR="00FB272D">
        <w:rPr>
          <w:rFonts w:ascii="Times New Roman" w:hAnsi="Times New Roman" w:cs="Times New Roman"/>
          <w:sz w:val="24"/>
          <w:szCs w:val="24"/>
        </w:rPr>
        <w:t xml:space="preserve"> from the sons of Mannus, who were three and Tiesto, w</w:t>
      </w:r>
      <w:r w:rsidR="00FB57E6">
        <w:rPr>
          <w:rFonts w:ascii="Times New Roman" w:hAnsi="Times New Roman" w:cs="Times New Roman"/>
          <w:sz w:val="24"/>
          <w:szCs w:val="24"/>
        </w:rPr>
        <w:t xml:space="preserve">ho was their common forefather </w:t>
      </w:r>
      <w:r w:rsidRPr="00AC5114" w:rsidR="00FB57E6">
        <w:rPr>
          <w:rFonts w:ascii="Times New Roman" w:hAnsi="Times New Roman" w:cs="Times New Roman"/>
          <w:color w:val="222222"/>
          <w:sz w:val="24"/>
          <w:szCs w:val="24"/>
          <w:shd w:val="clear" w:color="auto" w:fill="FFFFFF"/>
        </w:rPr>
        <w:t>(</w:t>
      </w:r>
      <w:r w:rsidR="00FB57E6">
        <w:rPr>
          <w:rFonts w:ascii="Times New Roman" w:hAnsi="Times New Roman" w:cs="Times New Roman"/>
          <w:color w:val="222222"/>
          <w:sz w:val="24"/>
          <w:szCs w:val="24"/>
          <w:shd w:val="clear" w:color="auto" w:fill="FFFFFF"/>
        </w:rPr>
        <w:t xml:space="preserve">Fulbrook &amp; Fulbrook, </w:t>
      </w:r>
      <w:r w:rsidRPr="00AC5114" w:rsidR="00FB57E6">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 xml:space="preserve">. </w:t>
      </w:r>
      <w:r w:rsidRPr="00134B8D" w:rsidR="00CA7216">
        <w:rPr>
          <w:rFonts w:ascii="Times New Roman" w:hAnsi="Times New Roman" w:cs="Times New Roman"/>
          <w:sz w:val="24"/>
          <w:szCs w:val="24"/>
        </w:rPr>
        <w:t xml:space="preserve">According to chapter four, Winder mentions that they all have typical characteristics, which are reddish hair, blue eyes as well as large bodies. </w:t>
      </w:r>
      <w:r w:rsidRPr="00134B8D" w:rsidR="006102D3">
        <w:rPr>
          <w:rFonts w:ascii="Times New Roman" w:hAnsi="Times New Roman" w:cs="Times New Roman"/>
          <w:sz w:val="24"/>
          <w:szCs w:val="24"/>
        </w:rPr>
        <w:t xml:space="preserve">Men usually fight for women as they fear to lose them to captivity. Thus the Germans are always </w:t>
      </w:r>
      <w:r w:rsidRPr="00134B8D" w:rsidR="00887152">
        <w:rPr>
          <w:rFonts w:ascii="Times New Roman" w:hAnsi="Times New Roman" w:cs="Times New Roman"/>
          <w:sz w:val="24"/>
          <w:szCs w:val="24"/>
        </w:rPr>
        <w:t>contented</w:t>
      </w:r>
      <w:r w:rsidRPr="00134B8D" w:rsidR="006102D3">
        <w:rPr>
          <w:rFonts w:ascii="Times New Roman" w:hAnsi="Times New Roman" w:cs="Times New Roman"/>
          <w:sz w:val="24"/>
          <w:szCs w:val="24"/>
        </w:rPr>
        <w:t xml:space="preserve"> with one wife except for some small political marriages. In the latter chapters of th</w:t>
      </w:r>
      <w:r w:rsidRPr="00134B8D" w:rsidR="009324D6">
        <w:rPr>
          <w:rFonts w:ascii="Times New Roman" w:hAnsi="Times New Roman" w:cs="Times New Roman"/>
          <w:sz w:val="24"/>
          <w:szCs w:val="24"/>
        </w:rPr>
        <w:t>is book, Tacitus describes few Germanic tribes, locations as well as some of the characteristics.</w:t>
      </w:r>
    </w:p>
    <w:p w:rsidR="00CA7216"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In chapter seven, Tac</w:t>
      </w:r>
      <w:r w:rsidRPr="00134B8D" w:rsidR="0072722B">
        <w:rPr>
          <w:rFonts w:ascii="Times New Roman" w:hAnsi="Times New Roman" w:cs="Times New Roman"/>
          <w:sz w:val="24"/>
          <w:szCs w:val="24"/>
        </w:rPr>
        <w:t>i</w:t>
      </w:r>
      <w:r w:rsidRPr="00134B8D">
        <w:rPr>
          <w:rFonts w:ascii="Times New Roman" w:hAnsi="Times New Roman" w:cs="Times New Roman"/>
          <w:sz w:val="24"/>
          <w:szCs w:val="24"/>
        </w:rPr>
        <w:t xml:space="preserve">tus comes out to discuss the leadership and government based on merit-based and also </w:t>
      </w:r>
      <w:r w:rsidRPr="00134B8D" w:rsidR="00664D5C">
        <w:rPr>
          <w:rFonts w:ascii="Times New Roman" w:hAnsi="Times New Roman" w:cs="Times New Roman"/>
          <w:sz w:val="24"/>
          <w:szCs w:val="24"/>
        </w:rPr>
        <w:t>equal, leade</w:t>
      </w:r>
      <w:r w:rsidRPr="00134B8D" w:rsidR="00A060AC">
        <w:rPr>
          <w:rFonts w:ascii="Times New Roman" w:hAnsi="Times New Roman" w:cs="Times New Roman"/>
          <w:sz w:val="24"/>
          <w:szCs w:val="24"/>
        </w:rPr>
        <w:t xml:space="preserve">rship being used as an example as opposed to authority as the priests are administering punishments. </w:t>
      </w:r>
      <w:r w:rsidRPr="00134B8D" w:rsidR="00D234DB">
        <w:rPr>
          <w:rFonts w:ascii="Times New Roman" w:hAnsi="Times New Roman" w:cs="Times New Roman"/>
          <w:sz w:val="24"/>
          <w:szCs w:val="24"/>
        </w:rPr>
        <w:t xml:space="preserve">In chapter eight, Tacitus says that </w:t>
      </w:r>
      <w:r w:rsidRPr="00134B8D" w:rsidR="006102D3">
        <w:rPr>
          <w:rFonts w:ascii="Times New Roman" w:hAnsi="Times New Roman" w:cs="Times New Roman"/>
          <w:sz w:val="24"/>
          <w:szCs w:val="24"/>
        </w:rPr>
        <w:t>respect</w:t>
      </w:r>
      <w:r w:rsidRPr="00134B8D" w:rsidR="00D234DB">
        <w:rPr>
          <w:rFonts w:ascii="Times New Roman" w:hAnsi="Times New Roman" w:cs="Times New Roman"/>
          <w:sz w:val="24"/>
          <w:szCs w:val="24"/>
        </w:rPr>
        <w:t xml:space="preserve"> is being also accorded to the opinions of women</w:t>
      </w:r>
      <w:r w:rsidRPr="00134B8D" w:rsidR="006102D3">
        <w:rPr>
          <w:rFonts w:ascii="Times New Roman" w:hAnsi="Times New Roman" w:cs="Times New Roman"/>
          <w:sz w:val="24"/>
          <w:szCs w:val="24"/>
        </w:rPr>
        <w:t>; he also discusses the role of women in chapters seven and eight</w:t>
      </w:r>
      <w:r w:rsidRPr="00134B8D" w:rsidR="00D234DB">
        <w:rPr>
          <w:rFonts w:ascii="Times New Roman" w:hAnsi="Times New Roman" w:cs="Times New Roman"/>
          <w:sz w:val="24"/>
          <w:szCs w:val="24"/>
        </w:rPr>
        <w:t xml:space="preserve">. Lather </w:t>
      </w:r>
      <w:r w:rsidRPr="00134B8D" w:rsidR="006102D3">
        <w:rPr>
          <w:rFonts w:ascii="Times New Roman" w:hAnsi="Times New Roman" w:cs="Times New Roman"/>
          <w:sz w:val="24"/>
          <w:szCs w:val="24"/>
        </w:rPr>
        <w:t>in chapter 11, he descr</w:t>
      </w:r>
      <w:r w:rsidRPr="00134B8D" w:rsidR="00D234DB">
        <w:rPr>
          <w:rFonts w:ascii="Times New Roman" w:hAnsi="Times New Roman" w:cs="Times New Roman"/>
          <w:sz w:val="24"/>
          <w:szCs w:val="24"/>
        </w:rPr>
        <w:t>ibes the folk assembly rather than public things that are contained in German sources.</w:t>
      </w:r>
      <w:r w:rsidRPr="00134B8D" w:rsidR="0081765F">
        <w:rPr>
          <w:rFonts w:ascii="Times New Roman" w:hAnsi="Times New Roman" w:cs="Times New Roman"/>
          <w:sz w:val="24"/>
          <w:szCs w:val="24"/>
        </w:rPr>
        <w:t xml:space="preserve"> But according to this is that the final decision is obtained </w:t>
      </w:r>
      <w:r w:rsidRPr="00134B8D" w:rsidR="006102D3">
        <w:rPr>
          <w:rFonts w:ascii="Times New Roman" w:hAnsi="Times New Roman" w:cs="Times New Roman"/>
          <w:sz w:val="24"/>
          <w:szCs w:val="24"/>
        </w:rPr>
        <w:t>from</w:t>
      </w:r>
      <w:r w:rsidRPr="00134B8D" w:rsidR="0081765F">
        <w:rPr>
          <w:rFonts w:ascii="Times New Roman" w:hAnsi="Times New Roman" w:cs="Times New Roman"/>
          <w:sz w:val="24"/>
          <w:szCs w:val="24"/>
        </w:rPr>
        <w:t xml:space="preserve"> the men of the tribe.</w:t>
      </w:r>
    </w:p>
    <w:p w:rsidR="003124D3"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It is based on the personal history of the ancient Germans and modern. Martin Behaim’s Erdapfel knows as the earth apple was the most treasured possession in the Germanic museum located in Nuremberg. It was developed in the year of 1942 by the Portugal king when he visited the home city</w:t>
      </w:r>
      <w:r w:rsidRPr="00134B8D" w:rsidR="00470AC7">
        <w:rPr>
          <w:rFonts w:ascii="Times New Roman" w:hAnsi="Times New Roman" w:cs="Times New Roman"/>
          <w:sz w:val="24"/>
          <w:szCs w:val="24"/>
        </w:rPr>
        <w:t xml:space="preserve">. The surviving </w:t>
      </w:r>
      <w:r w:rsidRPr="00134B8D" w:rsidR="0098209E">
        <w:rPr>
          <w:rFonts w:ascii="Times New Roman" w:hAnsi="Times New Roman" w:cs="Times New Roman"/>
          <w:sz w:val="24"/>
          <w:szCs w:val="24"/>
        </w:rPr>
        <w:t>terrestrial</w:t>
      </w:r>
      <w:r w:rsidRPr="00134B8D" w:rsidR="00470AC7">
        <w:rPr>
          <w:rFonts w:ascii="Times New Roman" w:hAnsi="Times New Roman" w:cs="Times New Roman"/>
          <w:sz w:val="24"/>
          <w:szCs w:val="24"/>
        </w:rPr>
        <w:t xml:space="preserve"> globe was the work of precise as well as the vivid scientific immigration. </w:t>
      </w:r>
      <w:r w:rsidRPr="00134B8D" w:rsidR="002701FB">
        <w:rPr>
          <w:rFonts w:ascii="Times New Roman" w:hAnsi="Times New Roman" w:cs="Times New Roman"/>
          <w:sz w:val="24"/>
          <w:szCs w:val="24"/>
        </w:rPr>
        <w:t>They are perfect, but their exclusion has not yet been discovered in America. The museums in German crammed fully for groundbreaking globes together with maps, for instance, this one. It appears to be ironic in the country in that the borders of this country are consistent in their inconsistency.
</w:t>
      </w:r>
    </w:p>
    <w:p w:rsidR="002701FB"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When Simon Winder toured Germany, he noticed that all the historical maps of Germany resemble nothing apart </w:t>
      </w:r>
      <w:r w:rsidRPr="00134B8D" w:rsidR="0093170F">
        <w:rPr>
          <w:rFonts w:ascii="Times New Roman" w:hAnsi="Times New Roman" w:cs="Times New Roman"/>
          <w:sz w:val="24"/>
          <w:szCs w:val="24"/>
        </w:rPr>
        <w:t>from</w:t>
      </w:r>
      <w:r w:rsidR="00FB57E6">
        <w:rPr>
          <w:rFonts w:ascii="Times New Roman" w:hAnsi="Times New Roman" w:cs="Times New Roman"/>
          <w:sz w:val="24"/>
          <w:szCs w:val="24"/>
        </w:rPr>
        <w:t xml:space="preserve"> the Jigsaw factory </w:t>
      </w:r>
      <w:r w:rsidRPr="00AC5114" w:rsidR="00FB57E6">
        <w:rPr>
          <w:rFonts w:ascii="Times New Roman" w:hAnsi="Times New Roman" w:cs="Times New Roman"/>
          <w:color w:val="222222"/>
          <w:sz w:val="24"/>
          <w:szCs w:val="24"/>
          <w:shd w:val="clear" w:color="auto" w:fill="FFFFFF"/>
        </w:rPr>
        <w:t>(</w:t>
      </w:r>
      <w:r w:rsidR="00BD0BBB">
        <w:rPr>
          <w:rFonts w:ascii="Times New Roman" w:hAnsi="Times New Roman" w:cs="Times New Roman"/>
          <w:color w:val="222222"/>
          <w:sz w:val="24"/>
          <w:szCs w:val="24"/>
          <w:shd w:val="clear" w:color="auto" w:fill="FFFFFF"/>
        </w:rPr>
        <w:t xml:space="preserve">Fulbrook &amp; Fulbrook, </w:t>
      </w:r>
      <w:r w:rsidRPr="00AC5114" w:rsidR="00FB57E6">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w:t>
      </w:r>
      <w:r w:rsidRPr="00134B8D" w:rsidR="0093170F">
        <w:rPr>
          <w:rFonts w:ascii="Times New Roman" w:hAnsi="Times New Roman" w:cs="Times New Roman"/>
          <w:sz w:val="24"/>
          <w:szCs w:val="24"/>
        </w:rPr>
        <w:t xml:space="preserve"> Germania is considered to be the apt title concerning the project of Winder; this is not the idea that the roman empires do bear a resemblance to the current place we know. The roman senator was able to fire up the historical immigration of the Germans in the Tacitus book like just another few. This was a polemic, unlike the straightforward reportage, in Tacitus Germania were able to contrast the decadence concerning the imperial capital on the simplicity of savages based on the provinces, this conjured up people who were </w:t>
      </w:r>
      <w:r w:rsidRPr="00134B8D" w:rsidR="001A08B3">
        <w:rPr>
          <w:rFonts w:ascii="Times New Roman" w:hAnsi="Times New Roman" w:cs="Times New Roman"/>
          <w:sz w:val="24"/>
          <w:szCs w:val="24"/>
        </w:rPr>
        <w:t>ethnically</w:t>
      </w:r>
      <w:r w:rsidRPr="00134B8D" w:rsidR="0093170F">
        <w:rPr>
          <w:rFonts w:ascii="Times New Roman" w:hAnsi="Times New Roman" w:cs="Times New Roman"/>
          <w:sz w:val="24"/>
          <w:szCs w:val="24"/>
        </w:rPr>
        <w:t xml:space="preserve"> and geographical unified more than they have never been in real life.  </w:t>
      </w:r>
    </w:p>
    <w:p w:rsidR="001A08B3"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It illustrates how the Germany nationalists have been scrambling to the Tacitus text when they are attacked by the fever of nationalism seizing the country. The ancient forests and the Nazi cult enabled Middle age mania to reach the climax. T</w:t>
      </w:r>
      <w:r w:rsidRPr="00134B8D" w:rsidR="003036EF">
        <w:rPr>
          <w:rFonts w:ascii="Times New Roman" w:hAnsi="Times New Roman" w:cs="Times New Roman"/>
          <w:sz w:val="24"/>
          <w:szCs w:val="24"/>
        </w:rPr>
        <w:t>his led to finding</w:t>
      </w:r>
      <w:r w:rsidRPr="00134B8D">
        <w:rPr>
          <w:rFonts w:ascii="Times New Roman" w:hAnsi="Times New Roman" w:cs="Times New Roman"/>
          <w:sz w:val="24"/>
          <w:szCs w:val="24"/>
        </w:rPr>
        <w:t xml:space="preserve"> the </w:t>
      </w:r>
      <w:r w:rsidRPr="00134B8D" w:rsidR="003036EF">
        <w:rPr>
          <w:rFonts w:ascii="Times New Roman" w:hAnsi="Times New Roman" w:cs="Times New Roman"/>
          <w:sz w:val="24"/>
          <w:szCs w:val="24"/>
        </w:rPr>
        <w:t>bathetic</w:t>
      </w:r>
      <w:r w:rsidRPr="00134B8D">
        <w:rPr>
          <w:rFonts w:ascii="Times New Roman" w:hAnsi="Times New Roman" w:cs="Times New Roman"/>
          <w:sz w:val="24"/>
          <w:szCs w:val="24"/>
        </w:rPr>
        <w:t xml:space="preserve"> climax </w:t>
      </w:r>
      <w:r w:rsidRPr="00134B8D" w:rsidR="003036EF">
        <w:rPr>
          <w:rFonts w:ascii="Times New Roman" w:hAnsi="Times New Roman" w:cs="Times New Roman"/>
          <w:sz w:val="24"/>
          <w:szCs w:val="24"/>
        </w:rPr>
        <w:t>together</w:t>
      </w:r>
      <w:r w:rsidRPr="00134B8D">
        <w:rPr>
          <w:rFonts w:ascii="Times New Roman" w:hAnsi="Times New Roman" w:cs="Times New Roman"/>
          <w:sz w:val="24"/>
          <w:szCs w:val="24"/>
        </w:rPr>
        <w:t xml:space="preserve"> with the Hermann, which was an absurd attempt I reversing the engineer, which was </w:t>
      </w:r>
      <w:r w:rsidRPr="00134B8D" w:rsidR="003036EF">
        <w:rPr>
          <w:rFonts w:ascii="Times New Roman" w:hAnsi="Times New Roman" w:cs="Times New Roman"/>
          <w:sz w:val="24"/>
          <w:szCs w:val="24"/>
        </w:rPr>
        <w:t xml:space="preserve">the authentic breed of medieval that was for the long-extinct. </w:t>
      </w:r>
    </w:p>
    <w:p w:rsidR="003036EF"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The origin of the Winder book was in 9AD, when was the onset of tribal original and chieftain, the Hermann of German. The Roman soldiers defeated Arminius at the Teutoburg f</w:t>
      </w:r>
      <w:r w:rsidRPr="00134B8D" w:rsidR="00CC4CB7">
        <w:rPr>
          <w:rFonts w:ascii="Times New Roman" w:hAnsi="Times New Roman" w:cs="Times New Roman"/>
          <w:sz w:val="24"/>
          <w:szCs w:val="24"/>
        </w:rPr>
        <w:t>orest as it packed up in 1933. Therefore this was to suggest that for every subtitle, it contains at least a sneaky left hand. In this period was plenty of history with no economic miracle in the 1950s, in which there were no student protests among the 68, the other was that there was no any single terrorist attack among the 77 strikes</w:t>
      </w:r>
      <w:r w:rsidRPr="00134B8D" w:rsidR="00721600">
        <w:rPr>
          <w:rFonts w:ascii="Times New Roman" w:hAnsi="Times New Roman" w:cs="Times New Roman"/>
          <w:sz w:val="24"/>
          <w:szCs w:val="24"/>
        </w:rPr>
        <w:t xml:space="preserve"> for the momentous events which were exposed to some arguments for the better understanding of Germany.
</w:t>
      </w:r>
    </w:p>
    <w:p w:rsidR="00721600"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It was not only for the case of postwar dramas together with the big ideas that made it enjoyable to read, but it is also interesting to read it.</w:t>
      </w:r>
      <w:r w:rsidRPr="00134B8D" w:rsidR="00EB3F42">
        <w:rPr>
          <w:rFonts w:ascii="Times New Roman" w:hAnsi="Times New Roman" w:cs="Times New Roman"/>
          <w:sz w:val="24"/>
          <w:szCs w:val="24"/>
        </w:rPr>
        <w:t xml:space="preserve"> Winder thus becomes a fair conventional queen or king in terms of history. Still, later, it appears to have the connoisseur eye based on the marginalia he manages to illuminate some hidden corners that are fascinated. This raises the question that how many books of the recent that have tried to look beyond the war crime and </w:t>
      </w:r>
      <w:r w:rsidRPr="00134B8D" w:rsidR="00767F9B">
        <w:rPr>
          <w:rFonts w:ascii="Times New Roman" w:hAnsi="Times New Roman" w:cs="Times New Roman"/>
          <w:sz w:val="24"/>
          <w:szCs w:val="24"/>
        </w:rPr>
        <w:t>fascist</w:t>
      </w:r>
      <w:r w:rsidRPr="00134B8D" w:rsidR="00910EEE">
        <w:rPr>
          <w:rFonts w:ascii="Times New Roman" w:hAnsi="Times New Roman" w:cs="Times New Roman"/>
          <w:sz w:val="24"/>
          <w:szCs w:val="24"/>
        </w:rPr>
        <w:t xml:space="preserve"> rallies kind of trials to appreciate Nuremberg's history of commercial in the period of </w:t>
      </w:r>
      <w:r w:rsidRPr="00134B8D" w:rsidR="00134B8D">
        <w:rPr>
          <w:rFonts w:ascii="Times New Roman" w:hAnsi="Times New Roman" w:cs="Times New Roman"/>
          <w:sz w:val="24"/>
          <w:szCs w:val="24"/>
        </w:rPr>
        <w:t>the Middle Ages</w:t>
      </w:r>
      <w:r w:rsidRPr="00134B8D" w:rsidR="00910EEE">
        <w:rPr>
          <w:rFonts w:ascii="Times New Roman" w:hAnsi="Times New Roman" w:cs="Times New Roman"/>
          <w:sz w:val="24"/>
          <w:szCs w:val="24"/>
        </w:rPr>
        <w:t xml:space="preserve">.  </w:t>
      </w:r>
    </w:p>
    <w:p w:rsidR="0018720C"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It is known that the German provincialism was being bemoaned based on the historian generations. According to Winder, it is the redeeming quality of the country. This was when he flanged himself together with unashamed </w:t>
      </w:r>
      <w:r w:rsidRPr="00134B8D" w:rsidR="008D3796">
        <w:rPr>
          <w:rFonts w:ascii="Times New Roman" w:hAnsi="Times New Roman" w:cs="Times New Roman"/>
          <w:sz w:val="24"/>
          <w:szCs w:val="24"/>
        </w:rPr>
        <w:t xml:space="preserve">kind of glee, which was directed to Quedlinburgs castles of climbing, towers of Jugendstil.  </w:t>
      </w:r>
      <w:r w:rsidRPr="00134B8D" w:rsidR="00A81DCD">
        <w:rPr>
          <w:rFonts w:ascii="Times New Roman" w:hAnsi="Times New Roman" w:cs="Times New Roman"/>
          <w:sz w:val="24"/>
          <w:szCs w:val="24"/>
        </w:rPr>
        <w:t>In that, according to him, the enthusiasm concerning the pokey holes in the history of German it was echt always, it does not matter even when the object for the affection was inauthentic.</w:t>
      </w:r>
      <w:r w:rsidRPr="00134B8D" w:rsidR="007B29AF">
        <w:rPr>
          <w:rFonts w:ascii="Times New Roman" w:hAnsi="Times New Roman" w:cs="Times New Roman"/>
          <w:sz w:val="24"/>
          <w:szCs w:val="24"/>
        </w:rPr>
        <w:t xml:space="preserve"> At the passages that are considered to be the best, Winder concentrates on picking apart the architecture for Emperor Heinrich III palace, which </w:t>
      </w:r>
      <w:r w:rsidRPr="00134B8D" w:rsidR="001414BF">
        <w:rPr>
          <w:rFonts w:ascii="Times New Roman" w:hAnsi="Times New Roman" w:cs="Times New Roman"/>
          <w:sz w:val="24"/>
          <w:szCs w:val="24"/>
        </w:rPr>
        <w:t>was</w:t>
      </w:r>
      <w:r w:rsidRPr="00134B8D" w:rsidR="007B29AF">
        <w:rPr>
          <w:rFonts w:ascii="Times New Roman" w:hAnsi="Times New Roman" w:cs="Times New Roman"/>
          <w:sz w:val="24"/>
          <w:szCs w:val="24"/>
        </w:rPr>
        <w:t xml:space="preserve"> at the city gates of Goslar</w:t>
      </w:r>
      <w:r w:rsidRPr="00134B8D" w:rsidR="001414BF">
        <w:rPr>
          <w:rFonts w:ascii="Times New Roman" w:hAnsi="Times New Roman" w:cs="Times New Roman"/>
          <w:sz w:val="24"/>
          <w:szCs w:val="24"/>
        </w:rPr>
        <w:t>, which is a thick blob of bronze and concrete tha</w:t>
      </w:r>
      <w:r w:rsidR="00AC5114">
        <w:rPr>
          <w:rFonts w:ascii="Times New Roman" w:hAnsi="Times New Roman" w:cs="Times New Roman"/>
          <w:sz w:val="24"/>
          <w:szCs w:val="24"/>
        </w:rPr>
        <w:t xml:space="preserve">t is sexed with hero-worshiping </w:t>
      </w:r>
      <w:r w:rsidRPr="00AC5114" w:rsidR="00FB57E6">
        <w:rPr>
          <w:rFonts w:ascii="Times New Roman" w:hAnsi="Times New Roman" w:cs="Times New Roman"/>
          <w:color w:val="222222"/>
          <w:sz w:val="24"/>
          <w:szCs w:val="24"/>
          <w:shd w:val="clear" w:color="auto" w:fill="FFFFFF"/>
        </w:rPr>
        <w:t>(</w:t>
      </w:r>
      <w:r w:rsidR="00FB57E6">
        <w:rPr>
          <w:rFonts w:ascii="Times New Roman" w:hAnsi="Times New Roman" w:cs="Times New Roman"/>
          <w:color w:val="222222"/>
          <w:sz w:val="24"/>
          <w:szCs w:val="24"/>
          <w:shd w:val="clear" w:color="auto" w:fill="FFFFFF"/>
        </w:rPr>
        <w:t xml:space="preserve">Fulbrook &amp; Fulbrook, </w:t>
      </w:r>
      <w:r w:rsidRPr="00AC5114" w:rsidR="00AC5114">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w:t>
      </w:r>
    </w:p>
    <w:p w:rsidR="00612FB2"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The book was to be </w:t>
      </w:r>
      <w:r w:rsidRPr="00134B8D" w:rsidR="00F8785C">
        <w:rPr>
          <w:rFonts w:ascii="Times New Roman" w:hAnsi="Times New Roman" w:cs="Times New Roman"/>
          <w:sz w:val="24"/>
          <w:szCs w:val="24"/>
        </w:rPr>
        <w:t>better</w:t>
      </w:r>
      <w:r w:rsidRPr="00134B8D">
        <w:rPr>
          <w:rFonts w:ascii="Times New Roman" w:hAnsi="Times New Roman" w:cs="Times New Roman"/>
          <w:sz w:val="24"/>
          <w:szCs w:val="24"/>
        </w:rPr>
        <w:t xml:space="preserve"> </w:t>
      </w:r>
      <w:r w:rsidRPr="00134B8D" w:rsidR="00F8785C">
        <w:rPr>
          <w:rFonts w:ascii="Times New Roman" w:hAnsi="Times New Roman" w:cs="Times New Roman"/>
          <w:sz w:val="24"/>
          <w:szCs w:val="24"/>
        </w:rPr>
        <w:t xml:space="preserve">if the disparity between the content and the title was not to be evidenced. ‘A </w:t>
      </w:r>
      <w:r w:rsidRPr="00134B8D" w:rsidR="00D55A6D">
        <w:rPr>
          <w:rFonts w:ascii="Times New Roman" w:hAnsi="Times New Roman" w:cs="Times New Roman"/>
          <w:sz w:val="24"/>
          <w:szCs w:val="24"/>
        </w:rPr>
        <w:t>personal</w:t>
      </w:r>
      <w:r w:rsidRPr="00134B8D" w:rsidR="00F8785C">
        <w:rPr>
          <w:rFonts w:ascii="Times New Roman" w:hAnsi="Times New Roman" w:cs="Times New Roman"/>
          <w:sz w:val="24"/>
          <w:szCs w:val="24"/>
        </w:rPr>
        <w:t xml:space="preserve"> history,' this promises the intertwining of both the political narratives and the personal narratives. </w:t>
      </w:r>
      <w:r w:rsidRPr="00134B8D" w:rsidR="00D55A6D">
        <w:rPr>
          <w:rFonts w:ascii="Times New Roman" w:hAnsi="Times New Roman" w:cs="Times New Roman"/>
          <w:sz w:val="24"/>
          <w:szCs w:val="24"/>
        </w:rPr>
        <w:t xml:space="preserve">According to Winder, personal means the first individual interjections based on which extent he is </w:t>
      </w:r>
      <w:r w:rsidRPr="00134B8D" w:rsidR="00184310">
        <w:rPr>
          <w:rFonts w:ascii="Times New Roman" w:hAnsi="Times New Roman" w:cs="Times New Roman"/>
          <w:sz w:val="24"/>
          <w:szCs w:val="24"/>
        </w:rPr>
        <w:t>in love</w:t>
      </w:r>
      <w:r w:rsidRPr="00134B8D" w:rsidR="00D55A6D">
        <w:rPr>
          <w:rFonts w:ascii="Times New Roman" w:hAnsi="Times New Roman" w:cs="Times New Roman"/>
          <w:sz w:val="24"/>
          <w:szCs w:val="24"/>
        </w:rPr>
        <w:t xml:space="preserve"> with the Bavarian Army Museum, or on another side, it can be </w:t>
      </w:r>
      <w:r w:rsidRPr="00134B8D" w:rsidR="00184310">
        <w:rPr>
          <w:rFonts w:ascii="Times New Roman" w:hAnsi="Times New Roman" w:cs="Times New Roman"/>
          <w:sz w:val="24"/>
          <w:szCs w:val="24"/>
        </w:rPr>
        <w:t xml:space="preserve">explained on to what extent he hates marzipan. This the words of the author, which seems to be odd </w:t>
      </w:r>
      <w:r w:rsidRPr="00134B8D" w:rsidR="005213CB">
        <w:rPr>
          <w:rFonts w:ascii="Times New Roman" w:hAnsi="Times New Roman" w:cs="Times New Roman"/>
          <w:sz w:val="24"/>
          <w:szCs w:val="24"/>
        </w:rPr>
        <w:t xml:space="preserve">as </w:t>
      </w:r>
      <w:r w:rsidRPr="00134B8D" w:rsidR="00184310">
        <w:rPr>
          <w:rFonts w:ascii="Times New Roman" w:hAnsi="Times New Roman" w:cs="Times New Roman"/>
          <w:sz w:val="24"/>
          <w:szCs w:val="24"/>
        </w:rPr>
        <w:t>compared to be interesting</w:t>
      </w:r>
      <w:r w:rsidRPr="00134B8D" w:rsidR="003B3F98">
        <w:rPr>
          <w:rFonts w:ascii="Times New Roman" w:hAnsi="Times New Roman" w:cs="Times New Roman"/>
          <w:sz w:val="24"/>
          <w:szCs w:val="24"/>
        </w:rPr>
        <w:t xml:space="preserve">. It was not the forte of Winder to fashion anecdote to anything of general interest. </w:t>
      </w:r>
    </w:p>
    <w:p w:rsidR="003B3F98" w:rsidRPr="00134B8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When the book begins, Winder confesses that he was about to manage to get his head just around the modal practices and also compound nouns </w:t>
      </w:r>
      <w:r w:rsidRPr="00134B8D" w:rsidR="006A7979">
        <w:rPr>
          <w:rFonts w:ascii="Times New Roman" w:hAnsi="Times New Roman" w:cs="Times New Roman"/>
          <w:sz w:val="24"/>
          <w:szCs w:val="24"/>
        </w:rPr>
        <w:t>based on the G</w:t>
      </w:r>
      <w:r w:rsidRPr="00134B8D" w:rsidR="00A819F4">
        <w:rPr>
          <w:rFonts w:ascii="Times New Roman" w:hAnsi="Times New Roman" w:cs="Times New Roman"/>
          <w:sz w:val="24"/>
          <w:szCs w:val="24"/>
        </w:rPr>
        <w:t xml:space="preserve">erman language. </w:t>
      </w:r>
      <w:r w:rsidRPr="00134B8D" w:rsidR="005213CB">
        <w:rPr>
          <w:rFonts w:ascii="Times New Roman" w:hAnsi="Times New Roman" w:cs="Times New Roman"/>
          <w:sz w:val="24"/>
          <w:szCs w:val="24"/>
        </w:rPr>
        <w:t xml:space="preserve"> This was, therefore, fine, but the issue was that it wa</w:t>
      </w:r>
      <w:r w:rsidRPr="00134B8D" w:rsidR="006A7979">
        <w:rPr>
          <w:rFonts w:ascii="Times New Roman" w:hAnsi="Times New Roman" w:cs="Times New Roman"/>
          <w:sz w:val="24"/>
          <w:szCs w:val="24"/>
        </w:rPr>
        <w:t>s an excuse that covered over 4</w:t>
      </w:r>
      <w:r w:rsidRPr="00134B8D" w:rsidR="005213CB">
        <w:rPr>
          <w:rFonts w:ascii="Times New Roman" w:hAnsi="Times New Roman" w:cs="Times New Roman"/>
          <w:sz w:val="24"/>
          <w:szCs w:val="24"/>
        </w:rPr>
        <w:t xml:space="preserve">00 </w:t>
      </w:r>
      <w:r w:rsidR="00FB57E6">
        <w:rPr>
          <w:rFonts w:ascii="Times New Roman" w:hAnsi="Times New Roman" w:cs="Times New Roman"/>
          <w:sz w:val="24"/>
          <w:szCs w:val="24"/>
        </w:rPr>
        <w:t xml:space="preserve">pages </w:t>
      </w:r>
      <w:r w:rsidRPr="00AC5114" w:rsidR="00FB57E6">
        <w:rPr>
          <w:rFonts w:ascii="Times New Roman" w:hAnsi="Times New Roman" w:cs="Times New Roman"/>
          <w:color w:val="222222"/>
          <w:sz w:val="24"/>
          <w:szCs w:val="24"/>
          <w:shd w:val="clear" w:color="auto" w:fill="FFFFFF"/>
        </w:rPr>
        <w:t>(</w:t>
      </w:r>
      <w:r w:rsidR="00FB57E6">
        <w:rPr>
          <w:rFonts w:ascii="Times New Roman" w:hAnsi="Times New Roman" w:cs="Times New Roman"/>
          <w:color w:val="222222"/>
          <w:sz w:val="24"/>
          <w:szCs w:val="24"/>
          <w:shd w:val="clear" w:color="auto" w:fill="FFFFFF"/>
        </w:rPr>
        <w:t xml:space="preserve">Fulbrook &amp; Fulbrook, </w:t>
      </w:r>
      <w:r w:rsidRPr="00AC5114" w:rsidR="00FB57E6">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 xml:space="preserve">. </w:t>
      </w:r>
      <w:r w:rsidRPr="00134B8D" w:rsidR="006A7979">
        <w:rPr>
          <w:rFonts w:ascii="Times New Roman" w:hAnsi="Times New Roman" w:cs="Times New Roman"/>
          <w:sz w:val="24"/>
          <w:szCs w:val="24"/>
        </w:rPr>
        <w:t>Winder</w:t>
      </w:r>
      <w:r w:rsidRPr="00134B8D" w:rsidR="005213CB">
        <w:rPr>
          <w:rFonts w:ascii="Times New Roman" w:hAnsi="Times New Roman" w:cs="Times New Roman"/>
          <w:sz w:val="24"/>
          <w:szCs w:val="24"/>
        </w:rPr>
        <w:t xml:space="preserve"> also has the </w:t>
      </w:r>
      <w:r w:rsidRPr="00134B8D" w:rsidR="006A7979">
        <w:rPr>
          <w:rFonts w:ascii="Times New Roman" w:hAnsi="Times New Roman" w:cs="Times New Roman"/>
          <w:sz w:val="24"/>
          <w:szCs w:val="24"/>
        </w:rPr>
        <w:t>challenge of the language barrier in that some G</w:t>
      </w:r>
      <w:r w:rsidRPr="00134B8D" w:rsidR="005213CB">
        <w:rPr>
          <w:rFonts w:ascii="Times New Roman" w:hAnsi="Times New Roman" w:cs="Times New Roman"/>
          <w:sz w:val="24"/>
          <w:szCs w:val="24"/>
        </w:rPr>
        <w:t>ermans speak English. This, therefore, makes the personal history to a publishing fad as it adds a cheap gloss towards rewarding read.</w:t>
      </w: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A81DCD" w:rsidRPr="00134B8D" w:rsidP="00134B8D">
      <w:pPr>
        <w:spacing w:after="0" w:line="480" w:lineRule="auto"/>
        <w:jc w:val="both"/>
        <w:rPr>
          <w:rFonts w:ascii="Times New Roman" w:hAnsi="Times New Roman" w:cs="Times New Roman"/>
          <w:sz w:val="24"/>
          <w:szCs w:val="24"/>
        </w:rPr>
      </w:pPr>
    </w:p>
    <w:p w:rsidR="00721600" w:rsidRPr="00134B8D" w:rsidP="00134B8D">
      <w:pPr>
        <w:spacing w:after="0" w:line="480" w:lineRule="auto"/>
        <w:jc w:val="both"/>
        <w:rPr>
          <w:rFonts w:ascii="Times New Roman" w:hAnsi="Times New Roman" w:cs="Times New Roman"/>
          <w:sz w:val="24"/>
          <w:szCs w:val="24"/>
        </w:rPr>
      </w:pPr>
    </w:p>
    <w:p w:rsidR="00721600" w:rsidP="008E330E">
      <w:pPr>
        <w:spacing w:after="0" w:line="480" w:lineRule="auto"/>
        <w:jc w:val="center"/>
        <w:rPr>
          <w:rFonts w:ascii="Times New Roman" w:hAnsi="Times New Roman" w:cs="Times New Roman"/>
          <w:b/>
          <w:sz w:val="24"/>
          <w:szCs w:val="24"/>
          <w:lang w:val="en"/>
        </w:rPr>
      </w:pPr>
      <w:r w:rsidRPr="008E330E">
        <w:rPr>
          <w:rFonts w:ascii="Times New Roman" w:hAnsi="Times New Roman" w:cs="Times New Roman"/>
          <w:b/>
          <w:sz w:val="24"/>
          <w:szCs w:val="24"/>
          <w:lang w:val="en"/>
        </w:rPr>
        <w:t>Reference</w:t>
      </w:r>
    </w:p>
    <w:p w:rsidR="00AC5114" w:rsidRPr="00AC5114" w:rsidP="00AC5114">
      <w:pPr>
        <w:spacing w:after="0" w:line="480" w:lineRule="auto"/>
        <w:rPr>
          <w:rFonts w:ascii="Times New Roman" w:hAnsi="Times New Roman" w:cs="Times New Roman"/>
          <w:b/>
          <w:sz w:val="24"/>
          <w:szCs w:val="24"/>
          <w:lang w:val="en"/>
        </w:rPr>
      </w:pPr>
      <w:r w:rsidRPr="00AC5114">
        <w:rPr>
          <w:rFonts w:ascii="Times New Roman" w:hAnsi="Times New Roman" w:cs="Times New Roman"/>
          <w:color w:val="222222"/>
          <w:sz w:val="24"/>
          <w:szCs w:val="24"/>
          <w:shd w:val="clear" w:color="auto" w:fill="FFFFFF"/>
        </w:rPr>
        <w:t>Fulbrook, M., &amp; Fulbrook, M. (2002). </w:t>
      </w:r>
      <w:r w:rsidRPr="00AC5114">
        <w:rPr>
          <w:rFonts w:ascii="Times New Roman" w:hAnsi="Times New Roman" w:cs="Times New Roman"/>
          <w:i/>
          <w:iCs/>
          <w:color w:val="222222"/>
          <w:sz w:val="24"/>
          <w:szCs w:val="24"/>
          <w:shd w:val="clear" w:color="auto" w:fill="FFFFFF"/>
        </w:rPr>
        <w:t>History of Germany, 1918-2000: the divided Nation</w:t>
      </w:r>
      <w:r w:rsidRPr="00AC5114">
        <w:rPr>
          <w:rFonts w:ascii="Times New Roman" w:hAnsi="Times New Roman" w:cs="Times New Roman"/>
          <w:color w:val="222222"/>
          <w:sz w:val="24"/>
          <w:szCs w:val="24"/>
          <w:shd w:val="clear" w:color="auto" w:fill="FFFFFF"/>
        </w:rPr>
        <w:t xml:space="preserve"> (p. </w:t>
      </w:r>
      <w:r w:rsidR="00A82E55">
        <w:rPr>
          <w:rFonts w:ascii="Times New Roman" w:hAnsi="Times New Roman" w:cs="Times New Roman"/>
          <w:color w:val="222222"/>
          <w:sz w:val="24"/>
          <w:szCs w:val="24"/>
          <w:shd w:val="clear" w:color="auto" w:fill="FFFFFF"/>
        </w:rPr>
        <w:tab/>
      </w:r>
      <w:r w:rsidRPr="00AC5114">
        <w:rPr>
          <w:rFonts w:ascii="Times New Roman" w:hAnsi="Times New Roman" w:cs="Times New Roman"/>
          <w:color w:val="222222"/>
          <w:sz w:val="24"/>
          <w:szCs w:val="24"/>
          <w:shd w:val="clear" w:color="auto" w:fill="FFFFFF"/>
        </w:rPr>
        <w:t>281). Oxford: Blackwell.</w:t>
      </w:r>
    </w:p>
    <w:sectPr w:rsidSect="008E330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03905285"/>
      <w:docPartObj>
        <w:docPartGallery w:val="Page Numbers (Top of Page)"/>
        <w:docPartUnique/>
      </w:docPartObj>
    </w:sdtPr>
    <w:sdtEndPr>
      <w:rPr>
        <w:noProof/>
      </w:rPr>
    </w:sdtEndPr>
    <w:sdtContent>
      <w:p w:rsidR="008E330E" w:rsidRPr="008E330E" w:rsidP="008E330E">
        <w:pPr>
          <w:spacing w:after="0" w:line="480" w:lineRule="auto"/>
          <w:jc w:val="center"/>
          <w:rPr>
            <w:rFonts w:ascii="Times New Roman" w:hAnsi="Times New Roman" w:cs="Times New Roman"/>
            <w:sz w:val="24"/>
            <w:szCs w:val="24"/>
          </w:rPr>
        </w:pPr>
        <w:r w:rsidRPr="008E330E">
          <w:rPr>
            <w:rFonts w:ascii="Times New Roman" w:hAnsi="Times New Roman" w:cs="Times New Roman"/>
            <w:sz w:val="24"/>
            <w:szCs w:val="24"/>
          </w:rPr>
          <w:t xml:space="preserve"> </w:t>
        </w:r>
        <w:r w:rsidRPr="008E330E">
          <w:rPr>
            <w:rFonts w:ascii="Times New Roman" w:hAnsi="Times New Roman" w:cs="Times New Roman"/>
            <w:b/>
            <w:sz w:val="24"/>
            <w:szCs w:val="24"/>
          </w:rPr>
          <w:t>THE EXPOSITORY SUMMARY OF GERMANIA BOOK</w:t>
        </w:r>
        <w:r>
          <w:rPr>
            <w:rFonts w:ascii="Times New Roman" w:hAnsi="Times New Roman" w:cs="Times New Roman"/>
            <w:b/>
            <w:sz w:val="24"/>
            <w:szCs w:val="24"/>
          </w:rPr>
          <w:t xml:space="preserve">                                                   </w:t>
        </w:r>
        <w:r w:rsidRPr="008E330E">
          <w:rPr>
            <w:rFonts w:ascii="Times New Roman" w:hAnsi="Times New Roman" w:cs="Times New Roman"/>
            <w:sz w:val="24"/>
            <w:szCs w:val="24"/>
          </w:rPr>
          <w:fldChar w:fldCharType="begin"/>
        </w:r>
        <w:r w:rsidRPr="008E330E">
          <w:rPr>
            <w:rFonts w:ascii="Times New Roman" w:hAnsi="Times New Roman" w:cs="Times New Roman"/>
            <w:sz w:val="24"/>
            <w:szCs w:val="24"/>
          </w:rPr>
          <w:instrText xml:space="preserve"> PAGE   \* MERGEFORMAT </w:instrText>
        </w:r>
        <w:r w:rsidRPr="008E330E">
          <w:rPr>
            <w:rFonts w:ascii="Times New Roman" w:hAnsi="Times New Roman" w:cs="Times New Roman"/>
            <w:sz w:val="24"/>
            <w:szCs w:val="24"/>
          </w:rPr>
          <w:fldChar w:fldCharType="separate"/>
        </w:r>
        <w:r w:rsidR="00BD0BBB">
          <w:rPr>
            <w:rFonts w:ascii="Times New Roman" w:hAnsi="Times New Roman" w:cs="Times New Roman"/>
            <w:noProof/>
            <w:sz w:val="24"/>
            <w:szCs w:val="24"/>
          </w:rPr>
          <w:t>6</w:t>
        </w:r>
        <w:r w:rsidRPr="008E330E">
          <w:rPr>
            <w:rFonts w:ascii="Times New Roman" w:hAnsi="Times New Roman" w:cs="Times New Roman"/>
            <w:noProof/>
            <w:sz w:val="24"/>
            <w:szCs w:val="24"/>
          </w:rPr>
          <w:fldChar w:fldCharType="end"/>
        </w:r>
      </w:p>
    </w:sdtContent>
  </w:sdt>
  <w:p w:rsidR="008E330E" w:rsidRPr="008E330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30E" w:rsidRPr="008E330E">
    <w:pPr>
      <w:pStyle w:val="Header"/>
      <w:rPr>
        <w:rFonts w:ascii="Times New Roman" w:hAnsi="Times New Roman" w:cs="Times New Roman"/>
        <w:sz w:val="24"/>
        <w:szCs w:val="24"/>
      </w:rPr>
    </w:pPr>
    <w:r w:rsidRPr="008E330E">
      <w:rPr>
        <w:rFonts w:ascii="Times New Roman" w:hAnsi="Times New Roman" w:cs="Times New Roman"/>
        <w:b/>
        <w:sz w:val="24"/>
        <w:szCs w:val="24"/>
      </w:rPr>
      <w:t>R</w:t>
    </w:r>
    <w:r w:rsidRPr="008E330E">
      <w:rPr>
        <w:rFonts w:ascii="Times New Roman" w:hAnsi="Times New Roman" w:cs="Times New Roman"/>
        <w:sz w:val="24"/>
        <w:szCs w:val="24"/>
      </w:rPr>
      <w:t xml:space="preserve">unning Head: </w:t>
    </w:r>
    <w:r w:rsidRPr="008E330E">
      <w:rPr>
        <w:rFonts w:ascii="Times New Roman" w:hAnsi="Times New Roman" w:cs="Times New Roman"/>
        <w:b/>
        <w:sz w:val="24"/>
        <w:szCs w:val="24"/>
      </w:rPr>
      <w:t xml:space="preserve">THE EXPOSITORY SUMMARY OF GERMANIA BOOK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4D3"/>
    <w:rsid w:val="000966FE"/>
    <w:rsid w:val="00134B8D"/>
    <w:rsid w:val="001414BF"/>
    <w:rsid w:val="00184310"/>
    <w:rsid w:val="0018720C"/>
    <w:rsid w:val="001A08B3"/>
    <w:rsid w:val="002701FB"/>
    <w:rsid w:val="003036EF"/>
    <w:rsid w:val="003124D3"/>
    <w:rsid w:val="003B3F98"/>
    <w:rsid w:val="00470AC7"/>
    <w:rsid w:val="005213CB"/>
    <w:rsid w:val="005251CC"/>
    <w:rsid w:val="006102D3"/>
    <w:rsid w:val="00612FB2"/>
    <w:rsid w:val="00664D5C"/>
    <w:rsid w:val="006A7979"/>
    <w:rsid w:val="00721600"/>
    <w:rsid w:val="0072722B"/>
    <w:rsid w:val="0076569F"/>
    <w:rsid w:val="00767F9B"/>
    <w:rsid w:val="007B29AF"/>
    <w:rsid w:val="0081765F"/>
    <w:rsid w:val="00887152"/>
    <w:rsid w:val="008D3796"/>
    <w:rsid w:val="008E330E"/>
    <w:rsid w:val="008E59DD"/>
    <w:rsid w:val="00910EEE"/>
    <w:rsid w:val="0093170F"/>
    <w:rsid w:val="009324D6"/>
    <w:rsid w:val="00955625"/>
    <w:rsid w:val="0098209E"/>
    <w:rsid w:val="00A060AC"/>
    <w:rsid w:val="00A819F4"/>
    <w:rsid w:val="00A81DCD"/>
    <w:rsid w:val="00A82E55"/>
    <w:rsid w:val="00AC5114"/>
    <w:rsid w:val="00BD0BBB"/>
    <w:rsid w:val="00CA7216"/>
    <w:rsid w:val="00CC4CB7"/>
    <w:rsid w:val="00D234DB"/>
    <w:rsid w:val="00D368AC"/>
    <w:rsid w:val="00D55A6D"/>
    <w:rsid w:val="00DD4272"/>
    <w:rsid w:val="00DE7BE6"/>
    <w:rsid w:val="00DF0C56"/>
    <w:rsid w:val="00EB3F42"/>
    <w:rsid w:val="00F8785C"/>
    <w:rsid w:val="00FB272D"/>
    <w:rsid w:val="00FB57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58DF4F6-02B4-4298-8639-16C3557E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0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8B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8E330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3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30E"/>
  </w:style>
  <w:style w:type="paragraph" w:styleId="Footer">
    <w:name w:val="footer"/>
    <w:basedOn w:val="Normal"/>
    <w:link w:val="FooterChar"/>
    <w:uiPriority w:val="99"/>
    <w:unhideWhenUsed/>
    <w:rsid w:val="008E3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2019-12-08T03:50:00Z</dcterms:created>
  <dcterms:modified xsi:type="dcterms:W3CDTF">2019-12-08T03:50:00Z</dcterms:modified>
</cp:coreProperties>
</file>